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anumGothic" w:hAnsi="NanumGothic" w:eastAsia="NanumGothic"/>
          <w:b/>
          <w:color w:val="17365D"/>
          <w:sz w:val="44"/>
        </w:rPr>
        <w:t>외환 컨설팅 제안서 작성 양식</w:t>
      </w:r>
    </w:p>
    <w:p>
      <w:pPr>
        <w:jc w:val="center"/>
      </w:pPr>
      <w:r>
        <w:rPr>
          <w:rFonts w:ascii="NanumGothic" w:hAnsi="NanumGothic" w:eastAsia="NanumGothic"/>
          <w:color w:val="5A5A5A"/>
          <w:sz w:val="20"/>
        </w:rPr>
        <w:t>Masocampus 사례 실습용 템플릿</w:t>
      </w:r>
    </w:p>
    <w:p/>
    <w:p>
      <w:r>
        <w:t>작성자: ____________________    작성일: ____________________    검토자: ____________________</w:t>
      </w:r>
    </w:p>
    <w:p>
      <w:pPr>
        <w:pStyle w:val="Heading1"/>
      </w:pPr>
      <w:r>
        <w:t>1. Executive Summary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작성 항목</w:t>
            </w:r>
          </w:p>
        </w:tc>
        <w:tc>
          <w:tcPr>
            <w:tcW w:type="dxa" w:w="4986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작성 내용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고객의 핵심 과제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[3문장 이내로 작성]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제안의 핵심 방향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[환리스크 관리, 거래 통합, 운영체계 개선을 요약]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기대효과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[정량·정성 효과를 구분해 작성]</w:t>
            </w:r>
          </w:p>
        </w:tc>
      </w:tr>
    </w:tbl>
    <w:p/>
    <w:p>
      <w:pPr>
        <w:pStyle w:val="Heading1"/>
      </w:pPr>
      <w:r>
        <w:t>2. 고객사 외환거래 현황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분석 항목</w:t>
            </w:r>
          </w:p>
        </w:tc>
        <w:tc>
          <w:tcPr>
            <w:tcW w:type="dxa" w:w="332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근거 자료</w:t>
            </w:r>
          </w:p>
        </w:tc>
        <w:tc>
          <w:tcPr>
            <w:tcW w:type="dxa" w:w="332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분석 결과</w:t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통화별 수입·지출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프로젝트 내 거래 데이터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수금·지급 시기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프로젝트 내 월별 현금흐름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현재 거래방식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기업개요 및 상담기록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관리상 문제점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상담기록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</w:tbl>
    <w:p/>
    <w:p>
      <w:pPr>
        <w:pStyle w:val="Heading1"/>
      </w:pPr>
      <w:r>
        <w:t>3. 외부환경 및 주요 리스크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조사 항목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핵심 근거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Masocampus에 대한 시사점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출처</w:t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USD/KRW 변동요인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EUR/KRW 변동요인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수출 중소기업 환리스크 사례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관련 제도 또는 회계 고려사항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</w:tbl>
    <w:p/>
    <w:p>
      <w:pPr>
        <w:pStyle w:val="Heading1"/>
      </w:pPr>
      <w:r>
        <w:t>4. 제안 시나리오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구분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보수적 도입안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단계적 관리안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통합 운영안</w:t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적용대상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헤지비율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실행방식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장점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위험/제약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권고대상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</w:tbl>
    <w:p/>
    <w:p>
      <w:pPr>
        <w:pStyle w:val="Heading1"/>
      </w:pPr>
      <w:r>
        <w:t>5. 권고안 및 실행계획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기간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주요 조치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담당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완료기준</w:t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0~1개월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2~3개월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4~6개월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정기 운영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</w:tbl>
    <w:p/>
    <w:p>
      <w:pPr>
        <w:pStyle w:val="Heading1"/>
      </w:pPr>
      <w:r>
        <w:t>6. 기대효과 및 성과지표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지표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현재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목표</w:t>
            </w:r>
          </w:p>
        </w:tc>
        <w:tc>
          <w:tcPr>
            <w:tcW w:type="dxa" w:w="2493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측정방법</w:t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환노출 금액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예산환율 이탈 폭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은행별 거래 분산도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  <w:tr>
        <w:tc>
          <w:tcPr>
            <w:tcW w:type="dxa" w:w="2493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월말 정산 소요시간</w:t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  <w:tc>
          <w:tcPr>
            <w:tcW w:type="dxa" w:w="2493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</w:r>
          </w:p>
        </w:tc>
      </w:tr>
    </w:tbl>
    <w:p/>
    <w:p>
      <w:pPr>
        <w:pStyle w:val="Heading1"/>
      </w:pPr>
      <w:r>
        <w:t>7. 가정·한계·추가 확인사항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고객자료에서 확인된 사실과 외부 조사에서 얻은 사실을 구분할 것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환율 전망은 단일 수치로 단정하지 말고 시나리오로 제시할 것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상품 제안에는 적용조건, 비용, 위험을 함께 기재할 것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확인되지 않은 수치는 임의로 만들지 말고 추가 확인사항으로 표시할 것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anumGothic" w:hAnsi="NanumGothic" w:eastAsia="NanumGothic"/>
        <w:color w:val="646464"/>
        <w:sz w:val="16"/>
      </w:rPr>
      <w:t>MM뱅크 외환 전문요원 실습용 가상자료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anumGothic" w:hAnsi="NanumGothic" w:eastAsia="NanumGothic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anumGothic" w:hAnsi="NanumGothic" w:eastAsia="NanumGothic"/>
      <w:b/>
      <w:bCs/>
      <w:color w:val="17365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anumGothic" w:hAnsi="NanumGothic" w:eastAsia="NanumGothic"/>
      <w:b/>
      <w:bCs/>
      <w:color w:val="2F75B5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anumGothic" w:hAnsi="NanumGothic" w:eastAsia="NanumGothic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anumGothic" w:hAnsi="NanumGothic" w:eastAsia="NanumGothic"/>
      <w:b/>
      <w:color w:val="17365D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